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48"/>
        <w:jc w:val="right"/>
        <w:rPr>
          <w:rFonts w:ascii="Times New Roman" w:eastAsia="Times New Roman" w:hAnsi="Times New Roman" w:cs="Times New Roman"/>
          <w:b/>
          <w:color w:val="7030A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7030A0"/>
          <w:sz w:val="25"/>
          <w:szCs w:val="25"/>
        </w:rPr>
        <w:t xml:space="preserve">Шановні батьки! </w:t>
      </w:r>
    </w:p>
    <w:p w14:paraId="00000002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31" w:lineRule="auto"/>
        <w:ind w:left="39" w:right="1" w:firstLine="563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Третій рік поспіль Українські воїни героїчно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протистоять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військовій агресії російської  федерації проти нашої держави. </w:t>
      </w:r>
    </w:p>
    <w:p w14:paraId="00000003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30" w:lineRule="auto"/>
        <w:ind w:left="27" w:right="-4" w:firstLine="57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Завдяки мужності та незламному духу військовослужбовців всіх збройних формувань, які  приймають участь у відсічі збройної агресії,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росії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не вдалось, не вдається та не вдасться  реалізувати свої кінцеві наміри – знищити Україну як державу, знищити її історі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ю, культуру та  самоідентичність! </w:t>
      </w:r>
    </w:p>
    <w:p w14:paraId="00000004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30" w:lineRule="auto"/>
        <w:ind w:left="31" w:right="-6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У зв’язку з цим, військове керівництво держави-агресора, усвідомлюючи повний провал на  полі бою, вдається до ганебних та підступних дій, спрямованих на залякування та вбивство  мирного населення, розповсюдження панічних настроїв, зриву мобілізаційних захо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дів та  загострення обстановки на території України. </w:t>
      </w:r>
    </w:p>
    <w:p w14:paraId="00000005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31" w:lineRule="auto"/>
        <w:ind w:left="37" w:right="-4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Одним з таких напрямків діяльності спецслужб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росії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останнім часом є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організація акцій з  підпалів та пошкодження військових автомобілів, майна, приміщень ТЦК та СП  (військкоматів)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тощо. </w:t>
      </w:r>
    </w:p>
    <w:p w14:paraId="00000006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30" w:lineRule="auto"/>
        <w:ind w:left="31" w:right="-4" w:firstLine="568"/>
        <w:jc w:val="both"/>
        <w:rPr>
          <w:rFonts w:ascii="Times New Roman" w:eastAsia="Times New Roman" w:hAnsi="Times New Roman" w:cs="Times New Roman"/>
          <w:b/>
          <w:color w:val="7030A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За інформацією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українських спецслужб, аналіз зафіксованих підпалів військового майна  свідчить, що останнім часом представниками спецслужб держави-агресора до вказаної  діяльності, як правило, за </w:t>
      </w:r>
      <w:r>
        <w:rPr>
          <w:rFonts w:ascii="Times New Roman" w:eastAsia="Times New Roman" w:hAnsi="Times New Roman" w:cs="Times New Roman"/>
          <w:b/>
          <w:color w:val="7030A0"/>
          <w:sz w:val="25"/>
          <w:szCs w:val="25"/>
        </w:rPr>
        <w:t xml:space="preserve">грошову винагороду залучаються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(шляхом розміщення відповідних  оголошень н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а сайтах з пошуку роботи, продажу товарів та послуг, здійснення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рандомних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 xml:space="preserve">  телефонних дзвінків з відповідними пропозиціями)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b/>
          <w:color w:val="7030A0"/>
          <w:sz w:val="25"/>
          <w:szCs w:val="25"/>
        </w:rPr>
        <w:t>підлітки віком від 13-16 років, які не мають  сформованого світогляду, не усвідомлюють в повній мірі негативні наслідки вищевказани</w:t>
      </w:r>
      <w:r>
        <w:rPr>
          <w:rFonts w:ascii="Times New Roman" w:eastAsia="Times New Roman" w:hAnsi="Times New Roman" w:cs="Times New Roman"/>
          <w:b/>
          <w:color w:val="7030A0"/>
          <w:sz w:val="25"/>
          <w:szCs w:val="25"/>
        </w:rPr>
        <w:t xml:space="preserve">х  протиправних дій та погоджуються на їх виконання через можливість заробітку.  </w:t>
      </w:r>
    </w:p>
    <w:p w14:paraId="00000007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30" w:lineRule="auto"/>
        <w:ind w:left="33" w:right="-5" w:firstLine="566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Замовники таких акцій надають виконавцям інструкції щодо місць придбання знарядь  протиправної діяльності, алгоритму виконання «завдання», звітування за результатами та заходів  конспірації. </w:t>
      </w:r>
    </w:p>
    <w:p w14:paraId="00000008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60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Зважаючи на це, звертаюсь до Вас з наступним: </w:t>
      </w:r>
    </w:p>
    <w:p w14:paraId="00000009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30" w:lineRule="auto"/>
        <w:ind w:left="29" w:right="-6" w:firstLine="56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Ви, як ніхто інши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й, знаєте своїх дітей, їх особливості та спрямування. Проведіть, будь ласка,  бесіди з ними щодо необхідності дотримання норм чинного законодавства, недопущення їх участі  у сумнівних та підозрілих «швидких» заробітках. У разі надходження дітям «пропозицій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» -  обов’язкове їх обговорення з Вами. </w:t>
      </w:r>
    </w:p>
    <w:p w14:paraId="0000000A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31" w:lineRule="auto"/>
        <w:ind w:left="34" w:right="-4" w:firstLine="564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Доведіть, що за участь у вчиненні вищевказаних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протиправних дій передбачена кримінальна  відповідальність за ст. 114-1 Кримінального кодексу України </w:t>
      </w:r>
      <w:r>
        <w:rPr>
          <w:rFonts w:ascii="Times New Roman" w:eastAsia="Times New Roman" w:hAnsi="Times New Roman" w:cs="Times New Roman"/>
          <w:i/>
          <w:color w:val="FF0000"/>
          <w:sz w:val="25"/>
          <w:szCs w:val="25"/>
        </w:rPr>
        <w:t xml:space="preserve">(«Перешкоджання законній  діяльності Збройних сил України та інших військових формувань»)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у виді до 8 років позбавлення  волі. </w:t>
      </w:r>
    </w:p>
    <w:p w14:paraId="0000000B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31" w:lineRule="auto"/>
        <w:ind w:left="37" w:right="-1" w:firstLine="56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Крім того, доцільно зверта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ти увагу на </w:t>
      </w:r>
      <w:r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ознаках можливого залучення дітей до  вищевказаної протиправної діяльності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а саме:  </w:t>
      </w:r>
    </w:p>
    <w:p w14:paraId="0000000C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46" w:lineRule="auto"/>
        <w:ind w:right="-6" w:firstLine="605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різка зміна поведінки (непритаманна закритість, роздратованість, стурбованість,  намаганнями вирішити певні проблеми, з’явлення підозрілих контактів тощо);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придбання дітьми специфічних товарів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(розчин для розпалу вугілля, бензин, інших горючих  рідин)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</w:t>
      </w:r>
    </w:p>
    <w:p w14:paraId="0000000D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31" w:lineRule="auto"/>
        <w:ind w:left="34" w:right="-5" w:firstLine="57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наявності в мобільних телефонах фотографій військових автомобілів, техніки, приміщень  ТЦК та СП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(як зроблених самостійно та і пересланих від інших осіб)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інструкцій та вказівок щодо  виконання певних дій; </w:t>
      </w:r>
    </w:p>
    <w:p w14:paraId="0000000E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" w:line="253" w:lineRule="auto"/>
        <w:ind w:left="33" w:right="1" w:firstLine="571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 придбання дітьми предметів маскування </w:t>
      </w:r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(масок, шарфів-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бафів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5"/>
          <w:szCs w:val="25"/>
        </w:rPr>
        <w:t>, інших предметів одягу)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; - відкриття дітьми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криптогаманців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з’явлення у дітей додаткових грошових коштів, а також  непритаманних їм коштовних речей та предметів. </w:t>
      </w:r>
    </w:p>
    <w:p w14:paraId="0000000F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30" w:lineRule="auto"/>
        <w:ind w:left="31" w:right="-5" w:firstLine="57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Спільними зусиллями ми маємо вберегти наших дітей від необдуманих кроків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та не  допустити зрадницьких дій в тилу, що є неодмінною запорукою нашої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довогоочікуваної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 Перемоги! </w:t>
      </w:r>
    </w:p>
    <w:p w14:paraId="00000010" w14:textId="77777777" w:rsidR="00EB24FA" w:rsidRDefault="006C2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600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Все буде Україна! Разом до Перемоги! Слава Україні!</w:t>
      </w:r>
    </w:p>
    <w:sectPr w:rsidR="00EB24FA">
      <w:pgSz w:w="11900" w:h="16820"/>
      <w:pgMar w:top="552" w:right="501" w:bottom="653" w:left="53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FA"/>
    <w:rsid w:val="006C2F42"/>
    <w:rsid w:val="00E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DBAB3-D92C-431D-84CD-D742AE2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2169</Words>
  <Characters>1237</Characters>
  <Application>Microsoft Office Word</Application>
  <DocSecurity>0</DocSecurity>
  <Lines>10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Tonkoshkur</cp:lastModifiedBy>
  <cp:revision>2</cp:revision>
  <dcterms:created xsi:type="dcterms:W3CDTF">2024-09-24T07:40:00Z</dcterms:created>
  <dcterms:modified xsi:type="dcterms:W3CDTF">2024-09-24T07:40:00Z</dcterms:modified>
</cp:coreProperties>
</file>